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1BB80" w14:textId="64D24531" w:rsidR="002F5A8D" w:rsidRPr="009A4AC0" w:rsidRDefault="008C329F" w:rsidP="007F32BC">
      <w:pPr>
        <w:rPr>
          <w:b/>
          <w:bCs/>
          <w:sz w:val="32"/>
          <w:szCs w:val="32"/>
        </w:rPr>
      </w:pPr>
      <w:r w:rsidRPr="009A4AC0">
        <w:rPr>
          <w:b/>
          <w:bCs/>
          <w:sz w:val="32"/>
          <w:szCs w:val="32"/>
        </w:rPr>
        <w:t xml:space="preserve">Rapport sur le commerce extérieur du Sénégal </w:t>
      </w:r>
    </w:p>
    <w:p w14:paraId="3194F265" w14:textId="1BF91B07" w:rsidR="007F32BC" w:rsidRPr="007F32BC" w:rsidRDefault="001D4A36" w:rsidP="007F32BC">
      <w:pPr>
        <w:rPr>
          <w:sz w:val="28"/>
          <w:szCs w:val="28"/>
        </w:rPr>
      </w:pPr>
      <w:r>
        <w:rPr>
          <w:sz w:val="28"/>
          <w:szCs w:val="28"/>
        </w:rPr>
        <w:t xml:space="preserve">L’analyse des données du commerce extérieur du </w:t>
      </w:r>
      <w:r w:rsidR="009B5D64">
        <w:rPr>
          <w:sz w:val="28"/>
          <w:szCs w:val="28"/>
        </w:rPr>
        <w:t>Sénégal</w:t>
      </w:r>
      <w:r w:rsidR="007F32BC" w:rsidRPr="007F32BC">
        <w:rPr>
          <w:sz w:val="28"/>
          <w:szCs w:val="28"/>
        </w:rPr>
        <w:t xml:space="preserve"> montre que les exportations du Sénégal en valeur FAB</w:t>
      </w:r>
      <w:r w:rsidR="009B5D64">
        <w:rPr>
          <w:sz w:val="28"/>
          <w:szCs w:val="28"/>
        </w:rPr>
        <w:t xml:space="preserve"> (</w:t>
      </w:r>
      <w:r w:rsidR="00B07F16">
        <w:rPr>
          <w:sz w:val="28"/>
          <w:szCs w:val="28"/>
        </w:rPr>
        <w:t>franco</w:t>
      </w:r>
      <w:r w:rsidR="002C2B45">
        <w:rPr>
          <w:sz w:val="28"/>
          <w:szCs w:val="28"/>
        </w:rPr>
        <w:t xml:space="preserve"> à bord</w:t>
      </w:r>
      <w:r w:rsidR="009B5D64">
        <w:rPr>
          <w:sz w:val="28"/>
          <w:szCs w:val="28"/>
        </w:rPr>
        <w:t>)</w:t>
      </w:r>
      <w:r w:rsidR="00E53ACC">
        <w:rPr>
          <w:sz w:val="28"/>
          <w:szCs w:val="28"/>
        </w:rPr>
        <w:t xml:space="preserve"> </w:t>
      </w:r>
      <w:r w:rsidR="007F32BC" w:rsidRPr="007F32BC">
        <w:rPr>
          <w:sz w:val="28"/>
          <w:szCs w:val="28"/>
        </w:rPr>
        <w:t>ont connu une augmentation progressive sur la période 2012-2023, passant de 1 313 milliards de F CFA en 2012 à 26 545 milliards de F CFA en 2023. Les importations en valeur CAF</w:t>
      </w:r>
      <w:r w:rsidR="002C2B45">
        <w:rPr>
          <w:sz w:val="28"/>
          <w:szCs w:val="28"/>
        </w:rPr>
        <w:t xml:space="preserve"> (</w:t>
      </w:r>
      <w:r w:rsidR="009D403C">
        <w:rPr>
          <w:sz w:val="28"/>
          <w:szCs w:val="28"/>
        </w:rPr>
        <w:t>coût</w:t>
      </w:r>
      <w:r w:rsidR="001863D3">
        <w:rPr>
          <w:sz w:val="28"/>
          <w:szCs w:val="28"/>
        </w:rPr>
        <w:t>, assurance, fret</w:t>
      </w:r>
      <w:r w:rsidR="002C2B45">
        <w:rPr>
          <w:sz w:val="28"/>
          <w:szCs w:val="28"/>
        </w:rPr>
        <w:t>)</w:t>
      </w:r>
      <w:r w:rsidR="009D403C">
        <w:rPr>
          <w:sz w:val="28"/>
          <w:szCs w:val="28"/>
        </w:rPr>
        <w:t xml:space="preserve"> </w:t>
      </w:r>
      <w:r w:rsidR="007F32BC" w:rsidRPr="007F32BC">
        <w:rPr>
          <w:sz w:val="28"/>
          <w:szCs w:val="28"/>
        </w:rPr>
        <w:t>ont également augmenté, passant de 3 258 milliards de F CFA à 57 303 milliards de F CFA sur la même période.</w:t>
      </w:r>
    </w:p>
    <w:p w14:paraId="0BC8FE2E" w14:textId="67C638C6" w:rsidR="007F32BC" w:rsidRDefault="007F32BC" w:rsidP="007F32BC">
      <w:pPr>
        <w:rPr>
          <w:sz w:val="28"/>
          <w:szCs w:val="28"/>
        </w:rPr>
      </w:pPr>
      <w:r w:rsidRPr="00CA1C16">
        <w:rPr>
          <w:b/>
          <w:bCs/>
          <w:sz w:val="28"/>
          <w:szCs w:val="28"/>
        </w:rPr>
        <w:t>Les exportations</w:t>
      </w:r>
      <w:r w:rsidRPr="007F32BC">
        <w:rPr>
          <w:sz w:val="28"/>
          <w:szCs w:val="28"/>
        </w:rPr>
        <w:t xml:space="preserve"> ont connu une forte hausse en 2019 avec 14 612 milliards de F CFA, grâce notamment à l'or qui représente près de la moitié des exportations sénégalaises cette année-là. On constate également une nette augmentation des exportations en 2022 qui s'élèvent à 23 321 milliards de F CFA. Cette embellie est portée par les produits pétroliers qui ont commencé à être exportés à partir de 2021 après la découverte de gisements offshore.</w:t>
      </w:r>
    </w:p>
    <w:p w14:paraId="64993337" w14:textId="78B090CD" w:rsidR="00851265" w:rsidRPr="007F32BC" w:rsidRDefault="00851265" w:rsidP="007F32BC">
      <w:pPr>
        <w:rPr>
          <w:sz w:val="28"/>
          <w:szCs w:val="28"/>
        </w:rPr>
      </w:pPr>
      <w:r>
        <w:rPr>
          <w:noProof/>
        </w:rPr>
        <w:drawing>
          <wp:inline distT="0" distB="0" distL="0" distR="0" wp14:anchorId="28AFF831" wp14:editId="2E03EADF">
            <wp:extent cx="5473700" cy="3679825"/>
            <wp:effectExtent l="0" t="0" r="12700" b="15875"/>
            <wp:docPr id="1199036589" name="Graphique 1">
              <a:extLst xmlns:a="http://schemas.openxmlformats.org/drawingml/2006/main">
                <a:ext uri="{FF2B5EF4-FFF2-40B4-BE49-F238E27FC236}">
                  <a16:creationId xmlns:a16="http://schemas.microsoft.com/office/drawing/2014/main" id="{855FDE85-28D5-7374-7E5B-479C9E8EB8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1007EA3" w14:textId="09A3B0E7" w:rsidR="007F32BC" w:rsidRDefault="007F32BC" w:rsidP="007F32BC">
      <w:pPr>
        <w:rPr>
          <w:sz w:val="28"/>
          <w:szCs w:val="28"/>
        </w:rPr>
      </w:pPr>
      <w:r w:rsidRPr="007F32BC">
        <w:rPr>
          <w:sz w:val="28"/>
          <w:szCs w:val="28"/>
        </w:rPr>
        <w:t xml:space="preserve">En ce qui concerne </w:t>
      </w:r>
      <w:r w:rsidRPr="00CA1C16">
        <w:rPr>
          <w:b/>
          <w:bCs/>
          <w:sz w:val="28"/>
          <w:szCs w:val="28"/>
        </w:rPr>
        <w:t>les importations</w:t>
      </w:r>
      <w:r w:rsidRPr="007F32BC">
        <w:rPr>
          <w:sz w:val="28"/>
          <w:szCs w:val="28"/>
        </w:rPr>
        <w:t>, elles ont atteint leur plus haut niveau en 2021 avec 42 546 milliards de F CFA. Cette année-là, les principaux produits importés sont les produits pétroliers, les machines et appareils, les produits pharmaceutiques et les céréales. On note que malgré la hausse des exportations, le déficit commercial s'est creusé pendant les deux mandats, passant de 1 944 milliards de F CFA en 2012 à 30 759 milliards de F CFA en 2023.</w:t>
      </w:r>
    </w:p>
    <w:p w14:paraId="199080C2" w14:textId="0C866CB4" w:rsidR="007D73D1" w:rsidRPr="007F32BC" w:rsidRDefault="007D73D1" w:rsidP="007F32BC">
      <w:pPr>
        <w:rPr>
          <w:sz w:val="28"/>
          <w:szCs w:val="28"/>
        </w:rPr>
      </w:pPr>
      <w:r>
        <w:rPr>
          <w:noProof/>
        </w:rPr>
        <w:drawing>
          <wp:inline distT="0" distB="0" distL="0" distR="0" wp14:anchorId="1C04FB4D" wp14:editId="257FA90A">
            <wp:extent cx="5568950" cy="2743200"/>
            <wp:effectExtent l="0" t="0" r="12700" b="0"/>
            <wp:docPr id="570775899" name="Graphique 1">
              <a:extLst xmlns:a="http://schemas.openxmlformats.org/drawingml/2006/main">
                <a:ext uri="{FF2B5EF4-FFF2-40B4-BE49-F238E27FC236}">
                  <a16:creationId xmlns:a16="http://schemas.microsoft.com/office/drawing/2014/main" id="{96B6990A-1EB0-4829-034A-C8783CB3F3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6870F0B" w14:textId="1C371EC2" w:rsidR="007F32BC" w:rsidRDefault="007F32BC" w:rsidP="007F32BC">
      <w:pPr>
        <w:rPr>
          <w:sz w:val="28"/>
          <w:szCs w:val="28"/>
        </w:rPr>
      </w:pPr>
      <w:r w:rsidRPr="007F32BC">
        <w:rPr>
          <w:sz w:val="28"/>
          <w:szCs w:val="28"/>
        </w:rPr>
        <w:t xml:space="preserve">Cependant, même si </w:t>
      </w:r>
      <w:r w:rsidRPr="00CA1C16">
        <w:rPr>
          <w:b/>
          <w:bCs/>
          <w:sz w:val="28"/>
          <w:szCs w:val="28"/>
        </w:rPr>
        <w:t>le solde commercial</w:t>
      </w:r>
      <w:r w:rsidRPr="007F32BC">
        <w:rPr>
          <w:sz w:val="28"/>
          <w:szCs w:val="28"/>
        </w:rPr>
        <w:t xml:space="preserve"> est déficitaire, les exportations ont connu une diversification avec des produits comme l'or, le ciment, les produits halieutiques et les produits pétroliers qui ont pris de l'importance. Le développement de nouveaux secteurs d'activités comme les hydrocarbures et l'amélioration de la production aurifère ont permis cette évolution positive des exportations.</w:t>
      </w:r>
    </w:p>
    <w:p w14:paraId="31C174FF" w14:textId="71E6A772" w:rsidR="005459B8" w:rsidRPr="007F32BC" w:rsidRDefault="005459B8" w:rsidP="007F32BC">
      <w:pPr>
        <w:rPr>
          <w:sz w:val="28"/>
          <w:szCs w:val="28"/>
        </w:rPr>
      </w:pPr>
      <w:r>
        <w:rPr>
          <w:noProof/>
        </w:rPr>
        <w:drawing>
          <wp:inline distT="0" distB="0" distL="0" distR="0" wp14:anchorId="38B2C44A" wp14:editId="153B1EE3">
            <wp:extent cx="5638800" cy="2743200"/>
            <wp:effectExtent l="0" t="0" r="0" b="0"/>
            <wp:docPr id="502898732" name="Graphique 1">
              <a:extLst xmlns:a="http://schemas.openxmlformats.org/drawingml/2006/main">
                <a:ext uri="{FF2B5EF4-FFF2-40B4-BE49-F238E27FC236}">
                  <a16:creationId xmlns:a16="http://schemas.microsoft.com/office/drawing/2014/main" id="{63F3C00A-F866-5403-2628-74FC33AA02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D5D4DEE" w14:textId="687EE4BF" w:rsidR="007F32BC" w:rsidRDefault="007F32BC" w:rsidP="007F32BC">
      <w:pPr>
        <w:rPr>
          <w:sz w:val="28"/>
          <w:szCs w:val="28"/>
        </w:rPr>
      </w:pPr>
      <w:r w:rsidRPr="007F32BC">
        <w:rPr>
          <w:sz w:val="28"/>
          <w:szCs w:val="28"/>
        </w:rPr>
        <w:t xml:space="preserve">L'analyse montre que les </w:t>
      </w:r>
      <w:r w:rsidRPr="00CA1C16">
        <w:rPr>
          <w:b/>
          <w:bCs/>
          <w:sz w:val="28"/>
          <w:szCs w:val="28"/>
        </w:rPr>
        <w:t>principaux clients</w:t>
      </w:r>
      <w:r w:rsidRPr="007F32BC">
        <w:rPr>
          <w:sz w:val="28"/>
          <w:szCs w:val="28"/>
        </w:rPr>
        <w:t xml:space="preserve"> du Sénégal sont la Suisse, l'Inde, le Mali, la Côte d'Ivoire et la France. Ces pays absorbent plus de la moitié des exportations sénégalaises sur la période étudiée. Cette situation s'explique par les exportations d'or vers la Suisse, de ciment vers le Mali et de produits pétroliers raffinés vers les pays de la sous-région.</w:t>
      </w:r>
    </w:p>
    <w:p w14:paraId="269327B0" w14:textId="502FBB39" w:rsidR="007D73D1" w:rsidRPr="007F32BC" w:rsidRDefault="007D73D1" w:rsidP="007F32BC">
      <w:pPr>
        <w:rPr>
          <w:sz w:val="28"/>
          <w:szCs w:val="28"/>
        </w:rPr>
      </w:pPr>
      <w:r>
        <w:rPr>
          <w:noProof/>
        </w:rPr>
        <w:drawing>
          <wp:inline distT="0" distB="0" distL="0" distR="0" wp14:anchorId="522E53FF" wp14:editId="0A24E97B">
            <wp:extent cx="5670550" cy="3187700"/>
            <wp:effectExtent l="0" t="0" r="6350" b="12700"/>
            <wp:docPr id="1399494936" name="Graphique 1">
              <a:extLst xmlns:a="http://schemas.openxmlformats.org/drawingml/2006/main">
                <a:ext uri="{FF2B5EF4-FFF2-40B4-BE49-F238E27FC236}">
                  <a16:creationId xmlns:a16="http://schemas.microsoft.com/office/drawing/2014/main" id="{8442A892-2CBC-C92C-E840-DB66A8222B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F838D55" w14:textId="77777777" w:rsidR="007F32BC" w:rsidRDefault="007F32BC" w:rsidP="007F32BC">
      <w:pPr>
        <w:rPr>
          <w:sz w:val="28"/>
          <w:szCs w:val="28"/>
        </w:rPr>
      </w:pPr>
      <w:r w:rsidRPr="007F32BC">
        <w:rPr>
          <w:sz w:val="28"/>
          <w:szCs w:val="28"/>
        </w:rPr>
        <w:t xml:space="preserve">Concernant </w:t>
      </w:r>
      <w:r w:rsidRPr="00CA1C16">
        <w:rPr>
          <w:b/>
          <w:bCs/>
          <w:sz w:val="28"/>
          <w:szCs w:val="28"/>
        </w:rPr>
        <w:t>les principaux fournisseurs</w:t>
      </w:r>
      <w:r w:rsidRPr="007F32BC">
        <w:rPr>
          <w:sz w:val="28"/>
          <w:szCs w:val="28"/>
        </w:rPr>
        <w:t>, la Chine est le premier partenaire d'importation du Sénégal. Viennent ensuite la France, le Nigeria, l'Inde et les Pays-Bas. La Chine fournit principalement des machines et équipements, mais aussi des produits chimiques et plastiques. Le Nigeria est un important pourvoyeur de pétrole brut. La France et l'Inde exportent surtout des produits pharmaceutiques et des véhicules.</w:t>
      </w:r>
    </w:p>
    <w:p w14:paraId="7E51C9DB" w14:textId="71BBA567" w:rsidR="007D73D1" w:rsidRPr="007F32BC" w:rsidRDefault="007D73D1" w:rsidP="007F32BC">
      <w:pPr>
        <w:rPr>
          <w:sz w:val="28"/>
          <w:szCs w:val="28"/>
        </w:rPr>
      </w:pPr>
      <w:r>
        <w:rPr>
          <w:noProof/>
        </w:rPr>
        <w:drawing>
          <wp:inline distT="0" distB="0" distL="0" distR="0" wp14:anchorId="46C55EAC" wp14:editId="2C99F7C4">
            <wp:extent cx="5727700" cy="3162300"/>
            <wp:effectExtent l="0" t="0" r="6350" b="0"/>
            <wp:docPr id="2019909904" name="Graphique 1">
              <a:extLst xmlns:a="http://schemas.openxmlformats.org/drawingml/2006/main">
                <a:ext uri="{FF2B5EF4-FFF2-40B4-BE49-F238E27FC236}">
                  <a16:creationId xmlns:a16="http://schemas.microsoft.com/office/drawing/2014/main" id="{7FE9B9B2-7B70-4DD8-8ADA-B6F2678DD2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4D1E8F8" w14:textId="77777777" w:rsidR="007F32BC" w:rsidRPr="007F32BC" w:rsidRDefault="007F32BC" w:rsidP="007F32BC">
      <w:pPr>
        <w:rPr>
          <w:sz w:val="28"/>
          <w:szCs w:val="28"/>
        </w:rPr>
      </w:pPr>
    </w:p>
    <w:p w14:paraId="11E4E180" w14:textId="74600759" w:rsidR="007F32BC" w:rsidRPr="007F32BC" w:rsidRDefault="007F32BC" w:rsidP="007F32BC">
      <w:pPr>
        <w:rPr>
          <w:sz w:val="28"/>
          <w:szCs w:val="28"/>
        </w:rPr>
      </w:pPr>
      <w:r w:rsidRPr="007F32BC">
        <w:rPr>
          <w:sz w:val="28"/>
          <w:szCs w:val="28"/>
        </w:rPr>
        <w:t>On constate donc que les échanges commerciaux du Sénégal restent concentrés sur quelques produits phares à l'export comme l'or, les produits pétroliers et le ciment. Les importations couvrent une gamme de produits plus large comprenant machines et équipements, produits pétroliers, médicaments, céréales etc.</w:t>
      </w:r>
    </w:p>
    <w:p w14:paraId="671B3F10" w14:textId="5EC88658" w:rsidR="008E5066" w:rsidRPr="008E5066" w:rsidRDefault="007F32BC" w:rsidP="008E5066">
      <w:pPr>
        <w:rPr>
          <w:sz w:val="28"/>
          <w:szCs w:val="28"/>
        </w:rPr>
      </w:pPr>
      <w:r w:rsidRPr="00CA1C16">
        <w:rPr>
          <w:b/>
          <w:bCs/>
          <w:sz w:val="28"/>
          <w:szCs w:val="28"/>
        </w:rPr>
        <w:t>Le déficit commercial</w:t>
      </w:r>
      <w:r w:rsidRPr="007F32BC">
        <w:rPr>
          <w:sz w:val="28"/>
          <w:szCs w:val="28"/>
        </w:rPr>
        <w:t xml:space="preserve"> chronique pose la question de la compétitivité et de la diversification insuffisante des exportations sénégalaises. L'émergence de nouveaux secteurs porteurs comme les hydrocarbures et les mines est cependant un motif d'espoir pour rééquilibrer la balance commerciale à l'avenir.</w:t>
      </w:r>
      <w:r w:rsidR="008E5066" w:rsidRPr="008E5066">
        <w:rPr>
          <w:sz w:val="28"/>
          <w:szCs w:val="28"/>
        </w:rPr>
        <w:br/>
        <w:t>Voici une analyse plus détaillée du déficit commercial du Sénégal entre 2012 et 2023, avec des données chiffrées :</w:t>
      </w:r>
    </w:p>
    <w:p w14:paraId="1B4F4306" w14:textId="0B62DE2F" w:rsidR="008E5066" w:rsidRPr="008E5066" w:rsidRDefault="008E5066" w:rsidP="00B5276B">
      <w:pPr>
        <w:rPr>
          <w:sz w:val="28"/>
          <w:szCs w:val="28"/>
        </w:rPr>
      </w:pPr>
      <w:r w:rsidRPr="008E5066">
        <w:rPr>
          <w:sz w:val="28"/>
          <w:szCs w:val="28"/>
        </w:rPr>
        <w:t>En 2012, le déficit commercial s'élevait à 1 944 milliards de F CFA. Il a ensuite plus que triplé en 2013 pour atteindre 5 806 milliards de F CFA</w:t>
      </w:r>
      <w:r>
        <w:rPr>
          <w:sz w:val="28"/>
          <w:szCs w:val="28"/>
        </w:rPr>
        <w:t xml:space="preserve"> représentant une augmentation 198,63% en valeur réelle</w:t>
      </w:r>
      <w:r w:rsidRPr="008E5066">
        <w:rPr>
          <w:sz w:val="28"/>
          <w:szCs w:val="28"/>
        </w:rPr>
        <w:t>. Cette dégradation s'explique par une hausse des importations cette année-là, tandis que les exportations sont restées stables.</w:t>
      </w:r>
    </w:p>
    <w:p w14:paraId="4ACAFA78" w14:textId="043C39EA" w:rsidR="008E5066" w:rsidRPr="008E5066" w:rsidRDefault="008E5066" w:rsidP="00B5276B">
      <w:pPr>
        <w:rPr>
          <w:sz w:val="28"/>
          <w:szCs w:val="28"/>
        </w:rPr>
      </w:pPr>
      <w:r w:rsidRPr="008E5066">
        <w:rPr>
          <w:sz w:val="28"/>
          <w:szCs w:val="28"/>
        </w:rPr>
        <w:t>En 2014, le déficit commercial s'est creusé à 7 492 milliards de F CFA, soit une augmentation de 29</w:t>
      </w:r>
      <w:r>
        <w:rPr>
          <w:sz w:val="28"/>
          <w:szCs w:val="28"/>
        </w:rPr>
        <w:t>,04</w:t>
      </w:r>
      <w:r w:rsidRPr="008E5066">
        <w:rPr>
          <w:sz w:val="28"/>
          <w:szCs w:val="28"/>
        </w:rPr>
        <w:t>% par rapport à 2013. Les importations ont bondi de 30% sous l'effet des achats de biens d'équipement et de produits pétroliers.</w:t>
      </w:r>
    </w:p>
    <w:p w14:paraId="67F7BDC2" w14:textId="5F9E68E9" w:rsidR="008E5066" w:rsidRDefault="008E5066" w:rsidP="00B5276B">
      <w:pPr>
        <w:rPr>
          <w:sz w:val="28"/>
          <w:szCs w:val="28"/>
        </w:rPr>
      </w:pPr>
      <w:r w:rsidRPr="008E5066">
        <w:rPr>
          <w:sz w:val="28"/>
          <w:szCs w:val="28"/>
        </w:rPr>
        <w:t>En 2015, le déficit atteint 9 436 milliards de F CFA, en progression de 2</w:t>
      </w:r>
      <w:r>
        <w:rPr>
          <w:sz w:val="28"/>
          <w:szCs w:val="28"/>
        </w:rPr>
        <w:t>5,96</w:t>
      </w:r>
      <w:r w:rsidRPr="008E5066">
        <w:rPr>
          <w:sz w:val="28"/>
          <w:szCs w:val="28"/>
        </w:rPr>
        <w:t>%. Les importations de produits pétroliers ont particulièrement pesé cette année.</w:t>
      </w:r>
    </w:p>
    <w:p w14:paraId="2C059AF2" w14:textId="555976E0" w:rsidR="001C2354" w:rsidRDefault="001C2354" w:rsidP="00B5276B">
      <w:pPr>
        <w:rPr>
          <w:sz w:val="28"/>
          <w:szCs w:val="28"/>
        </w:rPr>
      </w:pPr>
      <w:r>
        <w:rPr>
          <w:noProof/>
        </w:rPr>
        <w:drawing>
          <wp:inline distT="0" distB="0" distL="0" distR="0" wp14:anchorId="643254AD" wp14:editId="330D1D07">
            <wp:extent cx="5816600" cy="3409950"/>
            <wp:effectExtent l="0" t="0" r="12700" b="0"/>
            <wp:docPr id="736252856" name="Graphique 1">
              <a:extLst xmlns:a="http://schemas.openxmlformats.org/drawingml/2006/main">
                <a:ext uri="{FF2B5EF4-FFF2-40B4-BE49-F238E27FC236}">
                  <a16:creationId xmlns:a16="http://schemas.microsoft.com/office/drawing/2014/main" id="{8AB72395-6445-F0E5-3F54-751EAD86B8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9998C07" w14:textId="77777777" w:rsidR="001C2354" w:rsidRPr="008E5066" w:rsidRDefault="001C2354" w:rsidP="00B5276B">
      <w:pPr>
        <w:rPr>
          <w:sz w:val="28"/>
          <w:szCs w:val="28"/>
        </w:rPr>
      </w:pPr>
    </w:p>
    <w:p w14:paraId="4A0C2064" w14:textId="77777777" w:rsidR="00DE4A87" w:rsidRDefault="008E5066" w:rsidP="00817D62">
      <w:pPr>
        <w:rPr>
          <w:sz w:val="28"/>
          <w:szCs w:val="28"/>
        </w:rPr>
      </w:pPr>
      <w:r w:rsidRPr="008E5066">
        <w:rPr>
          <w:sz w:val="28"/>
          <w:szCs w:val="28"/>
        </w:rPr>
        <w:t>Sur la période 2016</w:t>
      </w:r>
      <w:r>
        <w:rPr>
          <w:sz w:val="28"/>
          <w:szCs w:val="28"/>
        </w:rPr>
        <w:t xml:space="preserve">, 2017 et </w:t>
      </w:r>
      <w:r w:rsidRPr="008E5066">
        <w:rPr>
          <w:sz w:val="28"/>
          <w:szCs w:val="28"/>
        </w:rPr>
        <w:t>2018, le déficit se situe entre 11 000 et 15 000 milliards de F CFA, soit</w:t>
      </w:r>
      <w:r>
        <w:rPr>
          <w:sz w:val="28"/>
          <w:szCs w:val="28"/>
        </w:rPr>
        <w:t xml:space="preserve"> respectivement</w:t>
      </w:r>
      <w:r w:rsidRPr="008E5066">
        <w:rPr>
          <w:sz w:val="28"/>
          <w:szCs w:val="28"/>
        </w:rPr>
        <w:t xml:space="preserve"> une hausse de 1</w:t>
      </w:r>
      <w:r>
        <w:rPr>
          <w:sz w:val="28"/>
          <w:szCs w:val="28"/>
        </w:rPr>
        <w:t>7,67</w:t>
      </w:r>
      <w:r w:rsidRPr="008E5066">
        <w:rPr>
          <w:sz w:val="28"/>
          <w:szCs w:val="28"/>
        </w:rPr>
        <w:t>%</w:t>
      </w:r>
      <w:r>
        <w:rPr>
          <w:sz w:val="28"/>
          <w:szCs w:val="28"/>
        </w:rPr>
        <w:t>, 19,44% et 18,64%</w:t>
      </w:r>
      <w:r w:rsidRPr="008E5066">
        <w:rPr>
          <w:sz w:val="28"/>
          <w:szCs w:val="28"/>
        </w:rPr>
        <w:t>. Les importations progressent plus vite que les exportations tirées par l'or et les produits pétroliers.</w:t>
      </w:r>
      <w:r>
        <w:rPr>
          <w:sz w:val="28"/>
          <w:szCs w:val="28"/>
        </w:rPr>
        <w:t xml:space="preserve"> </w:t>
      </w:r>
      <w:r w:rsidRPr="008E5066">
        <w:rPr>
          <w:sz w:val="28"/>
          <w:szCs w:val="28"/>
        </w:rPr>
        <w:t>En 2019, le déficit bondit à 18 062 milliards de F CFA, soit une augmentation de 1</w:t>
      </w:r>
      <w:r>
        <w:rPr>
          <w:sz w:val="28"/>
          <w:szCs w:val="28"/>
        </w:rPr>
        <w:t>4,79</w:t>
      </w:r>
      <w:r w:rsidRPr="008E5066">
        <w:rPr>
          <w:sz w:val="28"/>
          <w:szCs w:val="28"/>
        </w:rPr>
        <w:t>% sur un an, du fait de la flambée des importations de biens d'équipement.</w:t>
      </w:r>
      <w:r w:rsidR="00CD4F15">
        <w:rPr>
          <w:sz w:val="28"/>
          <w:szCs w:val="28"/>
        </w:rPr>
        <w:t xml:space="preserve"> </w:t>
      </w:r>
    </w:p>
    <w:p w14:paraId="5CB1E6C8" w14:textId="2FEF5FE6" w:rsidR="008C1774" w:rsidRDefault="008C1774" w:rsidP="00817D62">
      <w:pPr>
        <w:rPr>
          <w:sz w:val="28"/>
          <w:szCs w:val="28"/>
        </w:rPr>
      </w:pPr>
      <w:r>
        <w:rPr>
          <w:noProof/>
        </w:rPr>
        <w:drawing>
          <wp:inline distT="0" distB="0" distL="0" distR="0" wp14:anchorId="0D3EBAD9" wp14:editId="3A92C477">
            <wp:extent cx="5568950" cy="3089275"/>
            <wp:effectExtent l="0" t="0" r="12700" b="15875"/>
            <wp:docPr id="1491881382" name="Graphique 1">
              <a:extLst xmlns:a="http://schemas.openxmlformats.org/drawingml/2006/main">
                <a:ext uri="{FF2B5EF4-FFF2-40B4-BE49-F238E27FC236}">
                  <a16:creationId xmlns:a16="http://schemas.microsoft.com/office/drawing/2014/main" id="{6164B6BB-6919-8AE7-ACF4-E368C3D053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7C5D47" w14:textId="4816D39B" w:rsidR="008E5066" w:rsidRPr="008E5066" w:rsidRDefault="008E5066" w:rsidP="00817D62">
      <w:pPr>
        <w:rPr>
          <w:sz w:val="28"/>
          <w:szCs w:val="28"/>
        </w:rPr>
      </w:pPr>
      <w:r w:rsidRPr="008E5066">
        <w:rPr>
          <w:sz w:val="28"/>
          <w:szCs w:val="28"/>
        </w:rPr>
        <w:t>En 2020</w:t>
      </w:r>
      <w:r w:rsidR="00931756">
        <w:rPr>
          <w:sz w:val="28"/>
          <w:szCs w:val="28"/>
        </w:rPr>
        <w:t xml:space="preserve"> et 2021</w:t>
      </w:r>
      <w:r w:rsidRPr="008E5066">
        <w:rPr>
          <w:sz w:val="28"/>
          <w:szCs w:val="28"/>
        </w:rPr>
        <w:t>, la pandémie a limité la hausse du déficit</w:t>
      </w:r>
      <w:r w:rsidR="00931756">
        <w:rPr>
          <w:sz w:val="28"/>
          <w:szCs w:val="28"/>
        </w:rPr>
        <w:t xml:space="preserve"> respectivement</w:t>
      </w:r>
      <w:r w:rsidRPr="008E5066">
        <w:rPr>
          <w:sz w:val="28"/>
          <w:szCs w:val="28"/>
        </w:rPr>
        <w:t xml:space="preserve"> à 12</w:t>
      </w:r>
      <w:r w:rsidR="00931756">
        <w:rPr>
          <w:sz w:val="28"/>
          <w:szCs w:val="28"/>
        </w:rPr>
        <w:t>,37</w:t>
      </w:r>
      <w:r w:rsidRPr="008E5066">
        <w:rPr>
          <w:sz w:val="28"/>
          <w:szCs w:val="28"/>
        </w:rPr>
        <w:t>%</w:t>
      </w:r>
      <w:r w:rsidR="00931756">
        <w:rPr>
          <w:sz w:val="28"/>
          <w:szCs w:val="28"/>
        </w:rPr>
        <w:t xml:space="preserve"> et</w:t>
      </w:r>
      <w:r w:rsidRPr="008E5066">
        <w:rPr>
          <w:sz w:val="28"/>
          <w:szCs w:val="28"/>
        </w:rPr>
        <w:t>+1</w:t>
      </w:r>
      <w:r w:rsidR="00931756">
        <w:rPr>
          <w:sz w:val="28"/>
          <w:szCs w:val="28"/>
        </w:rPr>
        <w:t>2,29</w:t>
      </w:r>
      <w:r w:rsidRPr="008E5066">
        <w:rPr>
          <w:sz w:val="28"/>
          <w:szCs w:val="28"/>
        </w:rPr>
        <w:t>%</w:t>
      </w:r>
      <w:r w:rsidR="00931756">
        <w:rPr>
          <w:sz w:val="28"/>
          <w:szCs w:val="28"/>
        </w:rPr>
        <w:t xml:space="preserve"> mais </w:t>
      </w:r>
      <w:r w:rsidRPr="008E5066">
        <w:rPr>
          <w:sz w:val="28"/>
          <w:szCs w:val="28"/>
        </w:rPr>
        <w:t>dépass</w:t>
      </w:r>
      <w:r w:rsidR="00931756">
        <w:rPr>
          <w:sz w:val="28"/>
          <w:szCs w:val="28"/>
        </w:rPr>
        <w:t>ant</w:t>
      </w:r>
      <w:r w:rsidRPr="008E5066">
        <w:rPr>
          <w:sz w:val="28"/>
          <w:szCs w:val="28"/>
        </w:rPr>
        <w:t xml:space="preserve"> les 22 000 milliards de F CFA, les importations ayant crû de 18</w:t>
      </w:r>
      <w:r w:rsidR="00CA1C16" w:rsidRPr="008E5066">
        <w:rPr>
          <w:sz w:val="28"/>
          <w:szCs w:val="28"/>
        </w:rPr>
        <w:t>%. En</w:t>
      </w:r>
      <w:r w:rsidRPr="008E5066">
        <w:rPr>
          <w:sz w:val="28"/>
          <w:szCs w:val="28"/>
        </w:rPr>
        <w:t xml:space="preserve"> 2022 et 2023, le déficit dépasse les 26 000 et 30 000 milliards de F CFA, soit une aggravation de 1</w:t>
      </w:r>
      <w:r w:rsidR="00931756">
        <w:rPr>
          <w:sz w:val="28"/>
          <w:szCs w:val="28"/>
        </w:rPr>
        <w:t>7,49% et 14,88</w:t>
      </w:r>
      <w:r w:rsidRPr="008E5066">
        <w:rPr>
          <w:sz w:val="28"/>
          <w:szCs w:val="28"/>
        </w:rPr>
        <w:t>% sous l'effet de la vigueur des importations.</w:t>
      </w:r>
    </w:p>
    <w:p w14:paraId="0C16C1CF" w14:textId="02F7A9FD" w:rsidR="009A4AC0" w:rsidRDefault="008E5066" w:rsidP="008E5066">
      <w:pPr>
        <w:rPr>
          <w:sz w:val="28"/>
          <w:szCs w:val="28"/>
        </w:rPr>
      </w:pPr>
      <w:r w:rsidRPr="008E5066">
        <w:rPr>
          <w:sz w:val="28"/>
          <w:szCs w:val="28"/>
        </w:rPr>
        <w:t>On constate donc une dégradation continuelle du solde commercial, traduisant le manque de compétitivité des exportations sénégalaises face à des importations dynamiques. Des réformes structurelles s'imposent pour inverser cette tendance.</w:t>
      </w:r>
    </w:p>
    <w:p w14:paraId="05DCA383" w14:textId="6EE67C44" w:rsidR="00EF170F" w:rsidRPr="008E5066" w:rsidRDefault="003E6B96" w:rsidP="008E5066">
      <w:pPr>
        <w:rPr>
          <w:sz w:val="28"/>
          <w:szCs w:val="28"/>
        </w:rPr>
      </w:pPr>
      <w:r>
        <w:rPr>
          <w:sz w:val="28"/>
          <w:szCs w:val="28"/>
        </w:rPr>
        <w:t>Source : ANSD</w:t>
      </w:r>
    </w:p>
    <w:p w14:paraId="107C4399" w14:textId="78E43D94" w:rsidR="00DE11CC" w:rsidRPr="007F32BC" w:rsidRDefault="00DE11CC" w:rsidP="008E5066">
      <w:pPr>
        <w:rPr>
          <w:sz w:val="28"/>
          <w:szCs w:val="28"/>
        </w:rPr>
      </w:pPr>
    </w:p>
    <w:sectPr w:rsidR="00DE11CC" w:rsidRPr="007F32BC" w:rsidSect="00A67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478E"/>
    <w:multiLevelType w:val="multilevel"/>
    <w:tmpl w:val="B644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78249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2"/>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2BC"/>
    <w:rsid w:val="000620F9"/>
    <w:rsid w:val="00063D1E"/>
    <w:rsid w:val="00093B2E"/>
    <w:rsid w:val="000973AE"/>
    <w:rsid w:val="000B406A"/>
    <w:rsid w:val="0012193C"/>
    <w:rsid w:val="001863D3"/>
    <w:rsid w:val="001C1DF4"/>
    <w:rsid w:val="001C2354"/>
    <w:rsid w:val="001D4A36"/>
    <w:rsid w:val="001F64AC"/>
    <w:rsid w:val="00227E0F"/>
    <w:rsid w:val="00250318"/>
    <w:rsid w:val="00264306"/>
    <w:rsid w:val="002C2B45"/>
    <w:rsid w:val="002F5A8D"/>
    <w:rsid w:val="00356EC4"/>
    <w:rsid w:val="003C4A84"/>
    <w:rsid w:val="003E4B24"/>
    <w:rsid w:val="003E6B96"/>
    <w:rsid w:val="00432CB2"/>
    <w:rsid w:val="004F4F08"/>
    <w:rsid w:val="005459B8"/>
    <w:rsid w:val="0055498B"/>
    <w:rsid w:val="00563A13"/>
    <w:rsid w:val="00623A60"/>
    <w:rsid w:val="00650724"/>
    <w:rsid w:val="00653CDA"/>
    <w:rsid w:val="007233A3"/>
    <w:rsid w:val="0077320A"/>
    <w:rsid w:val="00794DD9"/>
    <w:rsid w:val="007B3CA5"/>
    <w:rsid w:val="007B3EE4"/>
    <w:rsid w:val="007D73D1"/>
    <w:rsid w:val="007F32BC"/>
    <w:rsid w:val="00817D62"/>
    <w:rsid w:val="0084553E"/>
    <w:rsid w:val="00851265"/>
    <w:rsid w:val="008A0471"/>
    <w:rsid w:val="008C1774"/>
    <w:rsid w:val="008C329F"/>
    <w:rsid w:val="008E5066"/>
    <w:rsid w:val="00914DBF"/>
    <w:rsid w:val="00931756"/>
    <w:rsid w:val="00937750"/>
    <w:rsid w:val="009A4AC0"/>
    <w:rsid w:val="009B5D64"/>
    <w:rsid w:val="009D403C"/>
    <w:rsid w:val="009F0981"/>
    <w:rsid w:val="00A12AA5"/>
    <w:rsid w:val="00A67CF7"/>
    <w:rsid w:val="00AE1C7B"/>
    <w:rsid w:val="00B07F16"/>
    <w:rsid w:val="00B5276B"/>
    <w:rsid w:val="00B83868"/>
    <w:rsid w:val="00C67BC7"/>
    <w:rsid w:val="00CA1C16"/>
    <w:rsid w:val="00CD4F15"/>
    <w:rsid w:val="00D021BE"/>
    <w:rsid w:val="00DE11CC"/>
    <w:rsid w:val="00DE4A87"/>
    <w:rsid w:val="00E178A8"/>
    <w:rsid w:val="00E53ACC"/>
    <w:rsid w:val="00E67944"/>
    <w:rsid w:val="00E947A8"/>
    <w:rsid w:val="00EF170F"/>
    <w:rsid w:val="00F20D11"/>
    <w:rsid w:val="00F573AF"/>
    <w:rsid w:val="00F86C53"/>
    <w:rsid w:val="00FA4718"/>
  </w:rsids>
  <m:mathPr>
    <m:mathFont m:val="Cambria Math"/>
    <m:brkBin m:val="before"/>
    <m:brkBinSub m:val="--"/>
    <m:smallFrac m:val="0"/>
    <m:dispDef/>
    <m:lMargin m:val="0"/>
    <m:rMargin m:val="0"/>
    <m:defJc m:val="centerGroup"/>
    <m:wrapIndent m:val="1440"/>
    <m:intLim m:val="subSup"/>
    <m:naryLim m:val="undOvr"/>
  </m:mathPr>
  <w:themeFontLang w:val="sv-SE" w:eastAsia="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3526"/>
  <w15:chartTrackingRefBased/>
  <w15:docId w15:val="{3A611DA8-ED26-4F63-8F79-74D8F8DFC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586863">
      <w:bodyDiv w:val="1"/>
      <w:marLeft w:val="0"/>
      <w:marRight w:val="0"/>
      <w:marTop w:val="0"/>
      <w:marBottom w:val="0"/>
      <w:divBdr>
        <w:top w:val="none" w:sz="0" w:space="0" w:color="auto"/>
        <w:left w:val="none" w:sz="0" w:space="0" w:color="auto"/>
        <w:bottom w:val="none" w:sz="0" w:space="0" w:color="auto"/>
        <w:right w:val="none" w:sz="0" w:space="0" w:color="auto"/>
      </w:divBdr>
    </w:div>
    <w:div w:id="955407080">
      <w:bodyDiv w:val="1"/>
      <w:marLeft w:val="0"/>
      <w:marRight w:val="0"/>
      <w:marTop w:val="0"/>
      <w:marBottom w:val="0"/>
      <w:divBdr>
        <w:top w:val="none" w:sz="0" w:space="0" w:color="auto"/>
        <w:left w:val="none" w:sz="0" w:space="0" w:color="auto"/>
        <w:bottom w:val="none" w:sz="0" w:space="0" w:color="auto"/>
        <w:right w:val="none" w:sz="0" w:space="0" w:color="auto"/>
      </w:divBdr>
    </w:div>
    <w:div w:id="1361904752">
      <w:bodyDiv w:val="1"/>
      <w:marLeft w:val="0"/>
      <w:marRight w:val="0"/>
      <w:marTop w:val="0"/>
      <w:marBottom w:val="0"/>
      <w:divBdr>
        <w:top w:val="none" w:sz="0" w:space="0" w:color="auto"/>
        <w:left w:val="none" w:sz="0" w:space="0" w:color="auto"/>
        <w:bottom w:val="none" w:sz="0" w:space="0" w:color="auto"/>
        <w:right w:val="none" w:sz="0" w:space="0" w:color="auto"/>
      </w:divBdr>
    </w:div>
    <w:div w:id="1518233571">
      <w:bodyDiv w:val="1"/>
      <w:marLeft w:val="0"/>
      <w:marRight w:val="0"/>
      <w:marTop w:val="0"/>
      <w:marBottom w:val="0"/>
      <w:divBdr>
        <w:top w:val="none" w:sz="0" w:space="0" w:color="auto"/>
        <w:left w:val="none" w:sz="0" w:space="0" w:color="auto"/>
        <w:bottom w:val="none" w:sz="0" w:space="0" w:color="auto"/>
        <w:right w:val="none" w:sz="0" w:space="0" w:color="auto"/>
      </w:divBdr>
      <w:divsChild>
        <w:div w:id="794760591">
          <w:marLeft w:val="0"/>
          <w:marRight w:val="0"/>
          <w:marTop w:val="0"/>
          <w:marBottom w:val="0"/>
          <w:divBdr>
            <w:top w:val="single" w:sz="2" w:space="0" w:color="auto"/>
            <w:left w:val="single" w:sz="2" w:space="0" w:color="auto"/>
            <w:bottom w:val="single" w:sz="2" w:space="0" w:color="auto"/>
            <w:right w:val="single" w:sz="2" w:space="0" w:color="auto"/>
          </w:divBdr>
          <w:divsChild>
            <w:div w:id="1669406133">
              <w:marLeft w:val="0"/>
              <w:marRight w:val="0"/>
              <w:marTop w:val="0"/>
              <w:marBottom w:val="0"/>
              <w:divBdr>
                <w:top w:val="single" w:sz="2" w:space="0" w:color="auto"/>
                <w:left w:val="single" w:sz="2" w:space="0" w:color="auto"/>
                <w:bottom w:val="single" w:sz="2" w:space="0" w:color="auto"/>
                <w:right w:val="single" w:sz="2" w:space="0" w:color="auto"/>
              </w:divBdr>
              <w:divsChild>
                <w:div w:id="1936590094">
                  <w:marLeft w:val="0"/>
                  <w:marRight w:val="0"/>
                  <w:marTop w:val="0"/>
                  <w:marBottom w:val="0"/>
                  <w:divBdr>
                    <w:top w:val="single" w:sz="2" w:space="0" w:color="auto"/>
                    <w:left w:val="single" w:sz="2" w:space="0" w:color="auto"/>
                    <w:bottom w:val="single" w:sz="2" w:space="0" w:color="auto"/>
                    <w:right w:val="single" w:sz="2" w:space="0" w:color="auto"/>
                  </w:divBdr>
                  <w:divsChild>
                    <w:div w:id="21448881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872768382">
          <w:marLeft w:val="0"/>
          <w:marRight w:val="0"/>
          <w:marTop w:val="0"/>
          <w:marBottom w:val="0"/>
          <w:divBdr>
            <w:top w:val="single" w:sz="2" w:space="0" w:color="auto"/>
            <w:left w:val="single" w:sz="2" w:space="0" w:color="auto"/>
            <w:bottom w:val="single" w:sz="2" w:space="0" w:color="auto"/>
            <w:right w:val="single" w:sz="2" w:space="0" w:color="auto"/>
          </w:divBdr>
          <w:divsChild>
            <w:div w:id="359357412">
              <w:marLeft w:val="0"/>
              <w:marRight w:val="0"/>
              <w:marTop w:val="0"/>
              <w:marBottom w:val="0"/>
              <w:divBdr>
                <w:top w:val="single" w:sz="2" w:space="0" w:color="auto"/>
                <w:left w:val="single" w:sz="2" w:space="0" w:color="auto"/>
                <w:bottom w:val="single" w:sz="2" w:space="0" w:color="auto"/>
                <w:right w:val="single" w:sz="2" w:space="0" w:color="auto"/>
              </w:divBdr>
              <w:divsChild>
                <w:div w:id="4536029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38409645">
          <w:marLeft w:val="0"/>
          <w:marRight w:val="0"/>
          <w:marTop w:val="0"/>
          <w:marBottom w:val="0"/>
          <w:divBdr>
            <w:top w:val="single" w:sz="2" w:space="0" w:color="auto"/>
            <w:left w:val="single" w:sz="2" w:space="0" w:color="auto"/>
            <w:bottom w:val="single" w:sz="2" w:space="0" w:color="auto"/>
            <w:right w:val="single" w:sz="2" w:space="0" w:color="auto"/>
          </w:divBdr>
          <w:divsChild>
            <w:div w:id="1104838412">
              <w:marLeft w:val="0"/>
              <w:marRight w:val="0"/>
              <w:marTop w:val="0"/>
              <w:marBottom w:val="0"/>
              <w:divBdr>
                <w:top w:val="single" w:sz="2" w:space="0" w:color="auto"/>
                <w:left w:val="single" w:sz="2" w:space="0" w:color="auto"/>
                <w:bottom w:val="single" w:sz="2" w:space="0" w:color="auto"/>
                <w:right w:val="single" w:sz="2" w:space="0" w:color="auto"/>
              </w:divBdr>
            </w:div>
          </w:divsChild>
        </w:div>
        <w:div w:id="1640917474">
          <w:marLeft w:val="0"/>
          <w:marRight w:val="0"/>
          <w:marTop w:val="0"/>
          <w:marBottom w:val="0"/>
          <w:divBdr>
            <w:top w:val="single" w:sz="2" w:space="0" w:color="auto"/>
            <w:left w:val="single" w:sz="2" w:space="0" w:color="auto"/>
            <w:bottom w:val="single" w:sz="2" w:space="0" w:color="auto"/>
            <w:right w:val="single" w:sz="2" w:space="0" w:color="auto"/>
          </w:divBdr>
          <w:divsChild>
            <w:div w:id="1450278056">
              <w:marLeft w:val="0"/>
              <w:marRight w:val="0"/>
              <w:marTop w:val="0"/>
              <w:marBottom w:val="0"/>
              <w:divBdr>
                <w:top w:val="single" w:sz="2" w:space="0" w:color="auto"/>
                <w:left w:val="single" w:sz="2" w:space="0" w:color="auto"/>
                <w:bottom w:val="single" w:sz="2" w:space="0" w:color="auto"/>
                <w:right w:val="single" w:sz="2" w:space="0" w:color="auto"/>
              </w:divBdr>
              <w:divsChild>
                <w:div w:id="1135873430">
                  <w:marLeft w:val="0"/>
                  <w:marRight w:val="0"/>
                  <w:marTop w:val="0"/>
                  <w:marBottom w:val="0"/>
                  <w:divBdr>
                    <w:top w:val="single" w:sz="2" w:space="0" w:color="auto"/>
                    <w:left w:val="single" w:sz="2" w:space="0" w:color="auto"/>
                    <w:bottom w:val="single" w:sz="2" w:space="0" w:color="auto"/>
                    <w:right w:val="single" w:sz="2" w:space="0" w:color="auto"/>
                  </w:divBdr>
                </w:div>
                <w:div w:id="1946762256">
                  <w:marLeft w:val="0"/>
                  <w:marRight w:val="0"/>
                  <w:marTop w:val="0"/>
                  <w:marBottom w:val="0"/>
                  <w:divBdr>
                    <w:top w:val="single" w:sz="2" w:space="0" w:color="auto"/>
                    <w:left w:val="single" w:sz="2" w:space="0" w:color="auto"/>
                    <w:bottom w:val="single" w:sz="2" w:space="0" w:color="auto"/>
                    <w:right w:val="single" w:sz="2" w:space="0" w:color="auto"/>
                  </w:divBdr>
                  <w:divsChild>
                    <w:div w:id="94974791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38895111">
          <w:marLeft w:val="0"/>
          <w:marRight w:val="0"/>
          <w:marTop w:val="0"/>
          <w:marBottom w:val="0"/>
          <w:divBdr>
            <w:top w:val="single" w:sz="2" w:space="0" w:color="auto"/>
            <w:left w:val="single" w:sz="2" w:space="0" w:color="auto"/>
            <w:bottom w:val="single" w:sz="2" w:space="0" w:color="auto"/>
            <w:right w:val="single" w:sz="2" w:space="0" w:color="auto"/>
          </w:divBdr>
          <w:divsChild>
            <w:div w:id="1489444464">
              <w:marLeft w:val="0"/>
              <w:marRight w:val="0"/>
              <w:marTop w:val="0"/>
              <w:marBottom w:val="0"/>
              <w:divBdr>
                <w:top w:val="single" w:sz="2" w:space="0" w:color="auto"/>
                <w:left w:val="single" w:sz="2" w:space="0" w:color="auto"/>
                <w:bottom w:val="single" w:sz="2" w:space="0" w:color="auto"/>
                <w:right w:val="single" w:sz="2" w:space="0" w:color="auto"/>
              </w:divBdr>
              <w:divsChild>
                <w:div w:id="4397600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55597624">
          <w:marLeft w:val="0"/>
          <w:marRight w:val="0"/>
          <w:marTop w:val="0"/>
          <w:marBottom w:val="0"/>
          <w:divBdr>
            <w:top w:val="single" w:sz="2" w:space="0" w:color="auto"/>
            <w:left w:val="single" w:sz="2" w:space="0" w:color="auto"/>
            <w:bottom w:val="single" w:sz="2" w:space="0" w:color="auto"/>
            <w:right w:val="single" w:sz="2" w:space="0" w:color="auto"/>
          </w:divBdr>
          <w:divsChild>
            <w:div w:id="1112096220">
              <w:marLeft w:val="0"/>
              <w:marRight w:val="0"/>
              <w:marTop w:val="0"/>
              <w:marBottom w:val="0"/>
              <w:divBdr>
                <w:top w:val="single" w:sz="2" w:space="0" w:color="auto"/>
                <w:left w:val="single" w:sz="2" w:space="0" w:color="auto"/>
                <w:bottom w:val="single" w:sz="2" w:space="0" w:color="auto"/>
                <w:right w:val="single" w:sz="2" w:space="0" w:color="auto"/>
              </w:divBdr>
            </w:div>
          </w:divsChild>
        </w:div>
        <w:div w:id="661853468">
          <w:marLeft w:val="0"/>
          <w:marRight w:val="0"/>
          <w:marTop w:val="0"/>
          <w:marBottom w:val="0"/>
          <w:divBdr>
            <w:top w:val="single" w:sz="2" w:space="0" w:color="auto"/>
            <w:left w:val="single" w:sz="2" w:space="0" w:color="auto"/>
            <w:bottom w:val="single" w:sz="2" w:space="0" w:color="auto"/>
            <w:right w:val="single" w:sz="2" w:space="0" w:color="auto"/>
          </w:divBdr>
          <w:divsChild>
            <w:div w:id="1157765853">
              <w:marLeft w:val="0"/>
              <w:marRight w:val="0"/>
              <w:marTop w:val="0"/>
              <w:marBottom w:val="0"/>
              <w:divBdr>
                <w:top w:val="single" w:sz="2" w:space="0" w:color="auto"/>
                <w:left w:val="single" w:sz="2" w:space="0" w:color="auto"/>
                <w:bottom w:val="single" w:sz="2" w:space="0" w:color="auto"/>
                <w:right w:val="single" w:sz="2" w:space="0" w:color="auto"/>
              </w:divBdr>
              <w:divsChild>
                <w:div w:id="149710831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chart" Target="charts/chart3.xm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chart" Target="charts/chart2.xml" /><Relationship Id="rId11" Type="http://schemas.openxmlformats.org/officeDocument/2006/relationships/chart" Target="charts/chart7.xml" /><Relationship Id="rId5" Type="http://schemas.openxmlformats.org/officeDocument/2006/relationships/chart" Target="charts/chart1.xml" /><Relationship Id="rId10" Type="http://schemas.openxmlformats.org/officeDocument/2006/relationships/chart" Target="charts/chart6.xml" /><Relationship Id="rId4" Type="http://schemas.openxmlformats.org/officeDocument/2006/relationships/webSettings" Target="webSettings.xml" /><Relationship Id="rId9" Type="http://schemas.openxmlformats.org/officeDocument/2006/relationships/chart" Target="charts/chart5.xml" /></Relationships>
</file>

<file path=word/charts/_rels/chart1.xml.rels><?xml version="1.0" encoding="UTF-8" standalone="yes"?>
<Relationships xmlns="http://schemas.openxmlformats.org/package/2006/relationships"><Relationship Id="rId3" Type="http://schemas.openxmlformats.org/officeDocument/2006/relationships/oleObject" Target="file:///C:\Users\Macodou%20Ndione\AppData\Local\Temp\MicrosoftEdgeDownloads\9d99d6f1-e9b2-44be-a1e3-28693912393f\Commerce%20de%20marchandise.xlsx" TargetMode="External"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oleObject" Target="file:///C:\Users\Macodou%20Ndione\AppData\Local\Temp\MicrosoftEdgeDownloads\9d99d6f1-e9b2-44be-a1e3-28693912393f\Commerce%20de%20marchandise.xlsx" TargetMode="External"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oleObject" Target="file:///C:\Users\Macodou%20Ndione\AppData\Local\Temp\MicrosoftEdgeDownloads\9d99d6f1-e9b2-44be-a1e3-28693912393f\Commerce%20de%20marchandise.xlsx" TargetMode="External" /><Relationship Id="rId2" Type="http://schemas.microsoft.com/office/2011/relationships/chartColorStyle" Target="colors3.xml" /><Relationship Id="rId1" Type="http://schemas.microsoft.com/office/2011/relationships/chartStyle" Target="style3.xml" /></Relationships>
</file>

<file path=word/charts/_rels/chart4.xml.rels><?xml version="1.0" encoding="UTF-8" standalone="yes"?>
<Relationships xmlns="http://schemas.openxmlformats.org/package/2006/relationships"><Relationship Id="rId3" Type="http://schemas.openxmlformats.org/officeDocument/2006/relationships/oleObject" Target="file:///C:\Users\Macodou%20Ndione\AppData\Local\Temp\MicrosoftEdgeDownloads\9d99d6f1-e9b2-44be-a1e3-28693912393f\Commerce%20de%20marchandise.xlsx" TargetMode="External" /><Relationship Id="rId2" Type="http://schemas.microsoft.com/office/2011/relationships/chartColorStyle" Target="colors4.xml" /><Relationship Id="rId1" Type="http://schemas.microsoft.com/office/2011/relationships/chartStyle" Target="style4.xml" /></Relationships>
</file>

<file path=word/charts/_rels/chart5.xml.rels><?xml version="1.0" encoding="UTF-8" standalone="yes"?>
<Relationships xmlns="http://schemas.openxmlformats.org/package/2006/relationships"><Relationship Id="rId3" Type="http://schemas.openxmlformats.org/officeDocument/2006/relationships/oleObject" Target="file:///C:\Users\Macodou%20Ndione\AppData\Local\Temp\MicrosoftEdgeDownloads\9d99d6f1-e9b2-44be-a1e3-28693912393f\Commerce%20de%20marchandise.xlsx" TargetMode="External" /><Relationship Id="rId2" Type="http://schemas.microsoft.com/office/2011/relationships/chartColorStyle" Target="colors5.xml" /><Relationship Id="rId1" Type="http://schemas.microsoft.com/office/2011/relationships/chartStyle" Target="style5.xml" /></Relationships>
</file>

<file path=word/charts/_rels/chart6.xml.rels><?xml version="1.0" encoding="UTF-8" standalone="yes"?>
<Relationships xmlns="http://schemas.openxmlformats.org/package/2006/relationships"><Relationship Id="rId3" Type="http://schemas.openxmlformats.org/officeDocument/2006/relationships/oleObject" Target="file:///C:\Users\Macodou%20Ndione\AppData\Local\Temp\MicrosoftEdgeDownloads\9d99d6f1-e9b2-44be-a1e3-28693912393f\Commerce%20de%20marchandise.xlsx" TargetMode="External" /><Relationship Id="rId2" Type="http://schemas.microsoft.com/office/2011/relationships/chartColorStyle" Target="colors6.xml" /><Relationship Id="rId1" Type="http://schemas.microsoft.com/office/2011/relationships/chartStyle" Target="style6.xml" /></Relationships>
</file>

<file path=word/charts/_rels/chart7.xml.rels><?xml version="1.0" encoding="UTF-8" standalone="yes"?>
<Relationships xmlns="http://schemas.openxmlformats.org/package/2006/relationships"><Relationship Id="rId3" Type="http://schemas.openxmlformats.org/officeDocument/2006/relationships/oleObject" Target="file:///C:\Users\Macodou%20Ndione\AppData\Local\Temp\MicrosoftEdgeDownloads\9d99d6f1-e9b2-44be-a1e3-28693912393f\Commerce%20de%20marchandise.xlsx" TargetMode="External" /><Relationship Id="rId2" Type="http://schemas.microsoft.com/office/2011/relationships/chartColorStyle" Target="colors7.xml" /><Relationship Id="rId1" Type="http://schemas.microsoft.com/office/2011/relationships/chartStyle" Target="style7.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i="0"/>
              <a:t>Importations/Exportations</a:t>
            </a:r>
            <a:r>
              <a:rPr lang="fr-FR" i="0" baseline="0"/>
              <a:t> 2012 -2023</a:t>
            </a:r>
            <a:endParaRPr lang="fr-FR" i="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manualLayout>
          <c:layoutTarget val="inner"/>
          <c:xMode val="edge"/>
          <c:yMode val="edge"/>
          <c:x val="0.12717825896762905"/>
          <c:y val="0.13573646591798463"/>
          <c:w val="0.84226618547681542"/>
          <c:h val="0.81714509162959958"/>
        </c:manualLayout>
      </c:layout>
      <c:barChart>
        <c:barDir val="bar"/>
        <c:grouping val="clustered"/>
        <c:varyColors val="0"/>
        <c:ser>
          <c:idx val="0"/>
          <c:order val="0"/>
          <c:tx>
            <c:strRef>
              <c:f>TCD!$B$25</c:f>
              <c:strCache>
                <c:ptCount val="1"/>
                <c:pt idx="0">
                  <c:v>Exportations, FAB</c:v>
                </c:pt>
              </c:strCache>
            </c:strRef>
          </c:tx>
          <c:spPr>
            <a:solidFill>
              <a:srgbClr val="00B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TCD!$A$26:$A$37</c:f>
              <c:strCache>
                <c:ptCount val="12"/>
                <c:pt idx="0">
                  <c:v>An-2012</c:v>
                </c:pt>
                <c:pt idx="1">
                  <c:v>An-2013</c:v>
                </c:pt>
                <c:pt idx="2">
                  <c:v>An-2014</c:v>
                </c:pt>
                <c:pt idx="3">
                  <c:v>An-2015</c:v>
                </c:pt>
                <c:pt idx="4">
                  <c:v>An-2016</c:v>
                </c:pt>
                <c:pt idx="5">
                  <c:v>An-2017</c:v>
                </c:pt>
                <c:pt idx="6">
                  <c:v>An-2018</c:v>
                </c:pt>
                <c:pt idx="7">
                  <c:v>An-2019</c:v>
                </c:pt>
                <c:pt idx="8">
                  <c:v>An-2020</c:v>
                </c:pt>
                <c:pt idx="9">
                  <c:v>An-2021</c:v>
                </c:pt>
                <c:pt idx="10">
                  <c:v>An-2022</c:v>
                </c:pt>
                <c:pt idx="11">
                  <c:v>An-2023</c:v>
                </c:pt>
              </c:strCache>
            </c:strRef>
          </c:cat>
          <c:val>
            <c:numRef>
              <c:f>TCD!$B$26:$B$37</c:f>
              <c:numCache>
                <c:formatCode>_-* #\ ##0_-;\-* #\ ##0_-;_-* "-"??_-;_-@_-</c:formatCode>
                <c:ptCount val="12"/>
                <c:pt idx="0">
                  <c:v>1313579202904</c:v>
                </c:pt>
                <c:pt idx="1">
                  <c:v>3943716020838</c:v>
                </c:pt>
                <c:pt idx="2">
                  <c:v>5163039564339</c:v>
                </c:pt>
                <c:pt idx="3">
                  <c:v>6847788203702</c:v>
                </c:pt>
                <c:pt idx="4">
                  <c:v>8399076470346</c:v>
                </c:pt>
                <c:pt idx="5">
                  <c:v>10149388049730</c:v>
                </c:pt>
                <c:pt idx="6">
                  <c:v>12165066758626</c:v>
                </c:pt>
                <c:pt idx="7">
                  <c:v>14611733117600</c:v>
                </c:pt>
                <c:pt idx="8">
                  <c:v>16873079176289</c:v>
                </c:pt>
                <c:pt idx="9">
                  <c:v>19757881420122</c:v>
                </c:pt>
                <c:pt idx="10">
                  <c:v>23320864529560</c:v>
                </c:pt>
                <c:pt idx="11">
                  <c:v>26544794875353</c:v>
                </c:pt>
              </c:numCache>
            </c:numRef>
          </c:val>
          <c:extLst>
            <c:ext xmlns:c16="http://schemas.microsoft.com/office/drawing/2014/chart" uri="{C3380CC4-5D6E-409C-BE32-E72D297353CC}">
              <c16:uniqueId val="{00000000-DAC4-46A4-86AC-FE05F928BF4E}"/>
            </c:ext>
          </c:extLst>
        </c:ser>
        <c:ser>
          <c:idx val="1"/>
          <c:order val="1"/>
          <c:tx>
            <c:strRef>
              <c:f>TCD!$C$25</c:f>
              <c:strCache>
                <c:ptCount val="1"/>
                <c:pt idx="0">
                  <c:v> Importations, CAF</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TCD!$A$26:$A$37</c:f>
              <c:strCache>
                <c:ptCount val="12"/>
                <c:pt idx="0">
                  <c:v>An-2012</c:v>
                </c:pt>
                <c:pt idx="1">
                  <c:v>An-2013</c:v>
                </c:pt>
                <c:pt idx="2">
                  <c:v>An-2014</c:v>
                </c:pt>
                <c:pt idx="3">
                  <c:v>An-2015</c:v>
                </c:pt>
                <c:pt idx="4">
                  <c:v>An-2016</c:v>
                </c:pt>
                <c:pt idx="5">
                  <c:v>An-2017</c:v>
                </c:pt>
                <c:pt idx="6">
                  <c:v>An-2018</c:v>
                </c:pt>
                <c:pt idx="7">
                  <c:v>An-2019</c:v>
                </c:pt>
                <c:pt idx="8">
                  <c:v>An-2020</c:v>
                </c:pt>
                <c:pt idx="9">
                  <c:v>An-2021</c:v>
                </c:pt>
                <c:pt idx="10">
                  <c:v>An-2022</c:v>
                </c:pt>
                <c:pt idx="11">
                  <c:v>An-2023</c:v>
                </c:pt>
              </c:strCache>
            </c:strRef>
          </c:cat>
          <c:val>
            <c:numRef>
              <c:f>TCD!$C$26:$C$37</c:f>
              <c:numCache>
                <c:formatCode>_-* #\ ##0_-;\-* #\ ##0_-;_-* "-"??_-;_-@_-</c:formatCode>
                <c:ptCount val="12"/>
                <c:pt idx="0">
                  <c:v>3257631043638</c:v>
                </c:pt>
                <c:pt idx="1">
                  <c:v>9749293720279</c:v>
                </c:pt>
                <c:pt idx="2">
                  <c:v>12654800459531</c:v>
                </c:pt>
                <c:pt idx="3">
                  <c:v>16284138587231</c:v>
                </c:pt>
                <c:pt idx="4">
                  <c:v>19502653387480</c:v>
                </c:pt>
                <c:pt idx="5">
                  <c:v>23411359308955</c:v>
                </c:pt>
                <c:pt idx="6">
                  <c:v>27899357842206</c:v>
                </c:pt>
                <c:pt idx="7">
                  <c:v>32673289983591</c:v>
                </c:pt>
                <c:pt idx="8">
                  <c:v>37167955724461</c:v>
                </c:pt>
                <c:pt idx="9">
                  <c:v>42546449820335</c:v>
                </c:pt>
                <c:pt idx="10">
                  <c:v>50095799172573</c:v>
                </c:pt>
                <c:pt idx="11">
                  <c:v>57303394650405</c:v>
                </c:pt>
              </c:numCache>
            </c:numRef>
          </c:val>
          <c:extLst>
            <c:ext xmlns:c16="http://schemas.microsoft.com/office/drawing/2014/chart" uri="{C3380CC4-5D6E-409C-BE32-E72D297353CC}">
              <c16:uniqueId val="{00000001-DAC4-46A4-86AC-FE05F928BF4E}"/>
            </c:ext>
          </c:extLst>
        </c:ser>
        <c:dLbls>
          <c:dLblPos val="outEnd"/>
          <c:showLegendKey val="0"/>
          <c:showVal val="1"/>
          <c:showCatName val="0"/>
          <c:showSerName val="0"/>
          <c:showPercent val="0"/>
          <c:showBubbleSize val="0"/>
        </c:dLbls>
        <c:gapWidth val="219"/>
        <c:axId val="596696976"/>
        <c:axId val="869670639"/>
      </c:barChart>
      <c:catAx>
        <c:axId val="596696976"/>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69670639"/>
        <c:crosses val="autoZero"/>
        <c:auto val="1"/>
        <c:lblAlgn val="ctr"/>
        <c:lblOffset val="100"/>
        <c:noMultiLvlLbl val="0"/>
      </c:catAx>
      <c:valAx>
        <c:axId val="869670639"/>
        <c:scaling>
          <c:orientation val="minMax"/>
        </c:scaling>
        <c:delete val="1"/>
        <c:axPos val="b"/>
        <c:numFmt formatCode="_-* #\ ##0_-;\-* #\ ##0_-;_-* &quot;-&quot;??_-;_-@_-" sourceLinked="1"/>
        <c:majorTickMark val="out"/>
        <c:minorTickMark val="none"/>
        <c:tickLblPos val="nextTo"/>
        <c:crossAx val="596696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lumMod val="85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Principaux Produits </a:t>
            </a:r>
            <a:r>
              <a:rPr lang="sv-SE"/>
              <a:t>Importés </a:t>
            </a:r>
            <a:r>
              <a:rPr lang="sv-SE" sz="1400" b="0" i="0" u="none" strike="noStrike" kern="1200" spc="0" baseline="0">
                <a:solidFill>
                  <a:sysClr val="windowText" lastClr="000000">
                    <a:lumMod val="65000"/>
                    <a:lumOff val="35000"/>
                  </a:sysClr>
                </a:solidFill>
              </a:rPr>
              <a:t>Décembre 2023 </a:t>
            </a:r>
            <a:r>
              <a:rPr lang="fr-FR"/>
              <a:t>(milliards de FCFA)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tx>
            <c:strRef>
              <c:f>Produits!$B$4</c:f>
              <c:strCache>
                <c:ptCount val="1"/>
                <c:pt idx="0">
                  <c:v>Valeur (milliards de FCFA)</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Produits!$A$5:$A$9</c:f>
              <c:strCache>
                <c:ptCount val="5"/>
                <c:pt idx="0">
                  <c:v>Huiles brutes de pétrole</c:v>
                </c:pt>
                <c:pt idx="1">
                  <c:v>Autres produits pétroliers</c:v>
                </c:pt>
                <c:pt idx="2">
                  <c:v>Machines et appareils</c:v>
                </c:pt>
                <c:pt idx="3">
                  <c:v>Véhicules terrestres</c:v>
                </c:pt>
                <c:pt idx="4">
                  <c:v>Ouvrages en métaux communs</c:v>
                </c:pt>
              </c:strCache>
            </c:strRef>
          </c:cat>
          <c:val>
            <c:numRef>
              <c:f>Produits!$B$5:$B$9</c:f>
              <c:numCache>
                <c:formatCode>_-* #\ ##0.0_-;\-* #\ ##0.0_-;_-* "-"??_-;_-@_-</c:formatCode>
                <c:ptCount val="5"/>
                <c:pt idx="0">
                  <c:v>120.3</c:v>
                </c:pt>
                <c:pt idx="1">
                  <c:v>118.6</c:v>
                </c:pt>
                <c:pt idx="2">
                  <c:v>64.8</c:v>
                </c:pt>
                <c:pt idx="3">
                  <c:v>33.299999999999997</c:v>
                </c:pt>
                <c:pt idx="4">
                  <c:v>32.1</c:v>
                </c:pt>
              </c:numCache>
            </c:numRef>
          </c:val>
          <c:extLst>
            <c:ext xmlns:c16="http://schemas.microsoft.com/office/drawing/2014/chart" uri="{C3380CC4-5D6E-409C-BE32-E72D297353CC}">
              <c16:uniqueId val="{00000000-55B1-431F-9CDF-81F9EF5B72FD}"/>
            </c:ext>
          </c:extLst>
        </c:ser>
        <c:dLbls>
          <c:dLblPos val="outEnd"/>
          <c:showLegendKey val="0"/>
          <c:showVal val="1"/>
          <c:showCatName val="0"/>
          <c:showSerName val="0"/>
          <c:showPercent val="0"/>
          <c:showBubbleSize val="0"/>
        </c:dLbls>
        <c:gapWidth val="182"/>
        <c:axId val="605718575"/>
        <c:axId val="869661711"/>
      </c:barChart>
      <c:catAx>
        <c:axId val="6057185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869661711"/>
        <c:crosses val="autoZero"/>
        <c:auto val="1"/>
        <c:lblAlgn val="ctr"/>
        <c:lblOffset val="100"/>
        <c:noMultiLvlLbl val="0"/>
      </c:catAx>
      <c:valAx>
        <c:axId val="869661711"/>
        <c:scaling>
          <c:orientation val="minMax"/>
        </c:scaling>
        <c:delete val="1"/>
        <c:axPos val="b"/>
        <c:numFmt formatCode="_-* #\ ##0.0_-;\-* #\ ##0.0_-;_-* &quot;-&quot;??_-;_-@_-" sourceLinked="1"/>
        <c:majorTickMark val="none"/>
        <c:minorTickMark val="none"/>
        <c:tickLblPos val="nextTo"/>
        <c:crossAx val="605718575"/>
        <c:crosses val="autoZero"/>
        <c:crossBetween val="between"/>
      </c:valAx>
      <c:spPr>
        <a:noFill/>
        <a:ln>
          <a:noFill/>
        </a:ln>
        <a:effectLst/>
      </c:spPr>
    </c:plotArea>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fr-FR" sz="1400" b="0" i="0" u="none" strike="noStrike" kern="1200" spc="0" baseline="0">
                <a:solidFill>
                  <a:sysClr val="windowText" lastClr="000000">
                    <a:lumMod val="65000"/>
                    <a:lumOff val="35000"/>
                  </a:sysClr>
                </a:solidFill>
              </a:rPr>
              <a:t>Principaux  Produits </a:t>
            </a:r>
            <a:r>
              <a:rPr lang="sv-SE" sz="1400" b="0" i="0" u="none" strike="noStrike" kern="1200" spc="0" baseline="0">
                <a:solidFill>
                  <a:sysClr val="windowText" lastClr="000000">
                    <a:lumMod val="65000"/>
                    <a:lumOff val="35000"/>
                  </a:sysClr>
                </a:solidFill>
              </a:rPr>
              <a:t>Exportés Décembre 2023 </a:t>
            </a:r>
            <a:r>
              <a:rPr lang="fr-FR" sz="1400" b="0" i="0" u="none" strike="noStrike" kern="1200" spc="0" baseline="0">
                <a:solidFill>
                  <a:sysClr val="windowText" lastClr="000000">
                    <a:lumMod val="65000"/>
                    <a:lumOff val="35000"/>
                  </a:sysClr>
                </a:solidFill>
              </a:rPr>
              <a:t>(milliards de FCFA)</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fr-F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fr-FR"/>
        </a:p>
      </c:txPr>
    </c:title>
    <c:autoTitleDeleted val="0"/>
    <c:plotArea>
      <c:layout/>
      <c:barChart>
        <c:barDir val="col"/>
        <c:grouping val="clustered"/>
        <c:varyColors val="0"/>
        <c:ser>
          <c:idx val="0"/>
          <c:order val="0"/>
          <c:tx>
            <c:strRef>
              <c:f>Produits!$F$4</c:f>
              <c:strCache>
                <c:ptCount val="1"/>
                <c:pt idx="0">
                  <c:v>Valeur (milliards de FCFA)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Produits!$E$5:$E$9</c:f>
              <c:strCache>
                <c:ptCount val="5"/>
                <c:pt idx="0">
                  <c:v>Produits pétroliers</c:v>
                </c:pt>
                <c:pt idx="1">
                  <c:v>Or non monétaire </c:v>
                </c:pt>
                <c:pt idx="2">
                  <c:v>Acide phosphorique </c:v>
                </c:pt>
                <c:pt idx="3">
                  <c:v>Poissons frais de mer</c:v>
                </c:pt>
                <c:pt idx="4">
                  <c:v>Ciment hydraulique </c:v>
                </c:pt>
              </c:strCache>
            </c:strRef>
          </c:cat>
          <c:val>
            <c:numRef>
              <c:f>Produits!$F$5:$F$9</c:f>
              <c:numCache>
                <c:formatCode>_-* #\ ##0.0_-;\-* #\ ##0.0_-;_-* "-"??_-;_-@_-</c:formatCode>
                <c:ptCount val="5"/>
                <c:pt idx="0">
                  <c:v>67.900000000000006</c:v>
                </c:pt>
                <c:pt idx="1">
                  <c:v>50</c:v>
                </c:pt>
                <c:pt idx="2">
                  <c:v>16.399999999999999</c:v>
                </c:pt>
                <c:pt idx="3">
                  <c:v>15.1</c:v>
                </c:pt>
                <c:pt idx="4">
                  <c:v>12.9</c:v>
                </c:pt>
              </c:numCache>
            </c:numRef>
          </c:val>
          <c:extLst>
            <c:ext xmlns:c16="http://schemas.microsoft.com/office/drawing/2014/chart" uri="{C3380CC4-5D6E-409C-BE32-E72D297353CC}">
              <c16:uniqueId val="{00000000-5BEC-4DFA-B276-70F692EBE8F3}"/>
            </c:ext>
          </c:extLst>
        </c:ser>
        <c:dLbls>
          <c:dLblPos val="outEnd"/>
          <c:showLegendKey val="0"/>
          <c:showVal val="1"/>
          <c:showCatName val="0"/>
          <c:showSerName val="0"/>
          <c:showPercent val="0"/>
          <c:showBubbleSize val="0"/>
        </c:dLbls>
        <c:gapWidth val="219"/>
        <c:overlap val="-27"/>
        <c:axId val="982736671"/>
        <c:axId val="997153487"/>
      </c:barChart>
      <c:catAx>
        <c:axId val="98273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997153487"/>
        <c:crosses val="autoZero"/>
        <c:auto val="1"/>
        <c:lblAlgn val="ctr"/>
        <c:lblOffset val="100"/>
        <c:noMultiLvlLbl val="0"/>
      </c:catAx>
      <c:valAx>
        <c:axId val="997153487"/>
        <c:scaling>
          <c:orientation val="minMax"/>
        </c:scaling>
        <c:delete val="1"/>
        <c:axPos val="l"/>
        <c:numFmt formatCode="_-* #\ ##0.0_-;\-* #\ ##0.0_-;_-* &quot;-&quot;??_-;_-@_-" sourceLinked="1"/>
        <c:majorTickMark val="none"/>
        <c:minorTickMark val="none"/>
        <c:tickLblPos val="nextTo"/>
        <c:crossAx val="982736671"/>
        <c:crosses val="autoZero"/>
        <c:crossBetween val="between"/>
      </c:valAx>
      <c:spPr>
        <a:noFill/>
        <a:ln>
          <a:noFill/>
        </a:ln>
        <a:effectLst/>
      </c:spPr>
    </c:plotArea>
    <c:plotVisOnly val="1"/>
    <c:dispBlanksAs val="gap"/>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Principaux Clients du </a:t>
            </a:r>
            <a:r>
              <a:rPr lang="sv-SE"/>
              <a:t>Sénégal en Décembre 2023 en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'Clients Fourniss'!$G$12</c:f>
              <c:strCache>
                <c:ptCount val="1"/>
                <c:pt idx="0">
                  <c:v>Pourcentage</c:v>
                </c:pt>
              </c:strCache>
            </c:strRef>
          </c:tx>
          <c:spPr>
            <a:solidFill>
              <a:srgbClr val="00B050"/>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'Clients Fourniss'!$F$13:$F$17</c:f>
              <c:strCache>
                <c:ptCount val="5"/>
                <c:pt idx="0">
                  <c:v>Mali</c:v>
                </c:pt>
                <c:pt idx="1">
                  <c:v>Suisse</c:v>
                </c:pt>
                <c:pt idx="2">
                  <c:v>Inde</c:v>
                </c:pt>
                <c:pt idx="3">
                  <c:v>États-Unis d'Amérique</c:v>
                </c:pt>
                <c:pt idx="4">
                  <c:v>Gambie</c:v>
                </c:pt>
              </c:strCache>
            </c:strRef>
          </c:cat>
          <c:val>
            <c:numRef>
              <c:f>'Clients Fourniss'!$G$13:$G$17</c:f>
              <c:numCache>
                <c:formatCode>0.0%</c:formatCode>
                <c:ptCount val="5"/>
                <c:pt idx="0">
                  <c:v>0.29299999999999998</c:v>
                </c:pt>
                <c:pt idx="1">
                  <c:v>0.186</c:v>
                </c:pt>
                <c:pt idx="2">
                  <c:v>8.3000000000000004E-2</c:v>
                </c:pt>
                <c:pt idx="3">
                  <c:v>4.9000000000000002E-2</c:v>
                </c:pt>
                <c:pt idx="4">
                  <c:v>4.5999999999999999E-2</c:v>
                </c:pt>
              </c:numCache>
            </c:numRef>
          </c:val>
          <c:extLst>
            <c:ext xmlns:c16="http://schemas.microsoft.com/office/drawing/2014/chart" uri="{C3380CC4-5D6E-409C-BE32-E72D297353CC}">
              <c16:uniqueId val="{00000000-0327-445A-8723-E44FD849AA7A}"/>
            </c:ext>
          </c:extLst>
        </c:ser>
        <c:dLbls>
          <c:showLegendKey val="0"/>
          <c:showVal val="1"/>
          <c:showCatName val="0"/>
          <c:showSerName val="0"/>
          <c:showPercent val="0"/>
          <c:showBubbleSize val="0"/>
        </c:dLbls>
        <c:gapWidth val="150"/>
        <c:shape val="box"/>
        <c:axId val="605714735"/>
        <c:axId val="592317471"/>
        <c:axId val="0"/>
      </c:bar3DChart>
      <c:catAx>
        <c:axId val="605714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592317471"/>
        <c:crosses val="autoZero"/>
        <c:auto val="1"/>
        <c:lblAlgn val="ctr"/>
        <c:lblOffset val="100"/>
        <c:noMultiLvlLbl val="0"/>
      </c:catAx>
      <c:valAx>
        <c:axId val="592317471"/>
        <c:scaling>
          <c:orientation val="minMax"/>
        </c:scaling>
        <c:delete val="1"/>
        <c:axPos val="l"/>
        <c:numFmt formatCode="0.0%" sourceLinked="1"/>
        <c:majorTickMark val="none"/>
        <c:minorTickMark val="none"/>
        <c:tickLblPos val="nextTo"/>
        <c:crossAx val="60571473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2">
        <a:lumMod val="9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Principaux Fourtnisseurs du </a:t>
            </a:r>
            <a:r>
              <a:rPr lang="sv-SE"/>
              <a:t>Sénégal</a:t>
            </a:r>
            <a:r>
              <a:rPr lang="en-US"/>
              <a:t> en </a:t>
            </a:r>
            <a:r>
              <a:rPr lang="sv-SE"/>
              <a:t>Décembre</a:t>
            </a:r>
            <a:r>
              <a:rPr lang="en-US"/>
              <a:t> 2023 en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'Clients Fourniss'!$G$3</c:f>
              <c:strCache>
                <c:ptCount val="1"/>
                <c:pt idx="0">
                  <c:v>Pourcentage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'Clients Fourniss'!$F$4:$F$8</c:f>
              <c:strCache>
                <c:ptCount val="5"/>
                <c:pt idx="0">
                  <c:v>Nigéria</c:v>
                </c:pt>
                <c:pt idx="1">
                  <c:v>République Populaire de Chine</c:v>
                </c:pt>
                <c:pt idx="2">
                  <c:v>France</c:v>
                </c:pt>
                <c:pt idx="3">
                  <c:v>Émirats Arabes Unis</c:v>
                </c:pt>
                <c:pt idx="4">
                  <c:v>Belgique</c:v>
                </c:pt>
              </c:strCache>
            </c:strRef>
          </c:cat>
          <c:val>
            <c:numRef>
              <c:f>'Clients Fourniss'!$G$4:$G$8</c:f>
              <c:numCache>
                <c:formatCode>0.0%</c:formatCode>
                <c:ptCount val="5"/>
                <c:pt idx="0">
                  <c:v>0.182</c:v>
                </c:pt>
                <c:pt idx="1">
                  <c:v>0.124</c:v>
                </c:pt>
                <c:pt idx="2">
                  <c:v>0.104</c:v>
                </c:pt>
                <c:pt idx="3">
                  <c:v>6.6000000000000003E-2</c:v>
                </c:pt>
                <c:pt idx="4">
                  <c:v>5.8000000000000003E-2</c:v>
                </c:pt>
              </c:numCache>
            </c:numRef>
          </c:val>
          <c:extLst>
            <c:ext xmlns:c16="http://schemas.microsoft.com/office/drawing/2014/chart" uri="{C3380CC4-5D6E-409C-BE32-E72D297353CC}">
              <c16:uniqueId val="{00000000-BA77-41CF-886A-B0D62E4AFDE6}"/>
            </c:ext>
          </c:extLst>
        </c:ser>
        <c:dLbls>
          <c:showLegendKey val="0"/>
          <c:showVal val="1"/>
          <c:showCatName val="0"/>
          <c:showSerName val="0"/>
          <c:showPercent val="0"/>
          <c:showBubbleSize val="0"/>
        </c:dLbls>
        <c:gapWidth val="150"/>
        <c:shape val="box"/>
        <c:axId val="982740031"/>
        <c:axId val="869676591"/>
        <c:axId val="0"/>
      </c:bar3DChart>
      <c:catAx>
        <c:axId val="98274003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869676591"/>
        <c:crosses val="autoZero"/>
        <c:auto val="1"/>
        <c:lblAlgn val="ctr"/>
        <c:lblOffset val="100"/>
        <c:noMultiLvlLbl val="0"/>
      </c:catAx>
      <c:valAx>
        <c:axId val="869676591"/>
        <c:scaling>
          <c:orientation val="minMax"/>
        </c:scaling>
        <c:delete val="1"/>
        <c:axPos val="l"/>
        <c:numFmt formatCode="0.0%" sourceLinked="1"/>
        <c:majorTickMark val="none"/>
        <c:minorTickMark val="none"/>
        <c:tickLblPos val="nextTo"/>
        <c:crossAx val="9827400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4">
        <a:lumMod val="20000"/>
        <a:lumOff val="8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tx>
            <c:strRef>
              <c:f>TCD!$J$25:$J$26</c:f>
              <c:strCache>
                <c:ptCount val="2"/>
                <c:pt idx="0">
                  <c:v>Evolution annelle du deficit commercial</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TCD!$H$27:$H$37</c:f>
              <c:strCache>
                <c:ptCount val="11"/>
                <c:pt idx="0">
                  <c:v>An-2013</c:v>
                </c:pt>
                <c:pt idx="1">
                  <c:v>An-2014</c:v>
                </c:pt>
                <c:pt idx="2">
                  <c:v>An-2015</c:v>
                </c:pt>
                <c:pt idx="3">
                  <c:v>An-2016</c:v>
                </c:pt>
                <c:pt idx="4">
                  <c:v>An-2017</c:v>
                </c:pt>
                <c:pt idx="5">
                  <c:v>An-2018</c:v>
                </c:pt>
                <c:pt idx="6">
                  <c:v>An-2019</c:v>
                </c:pt>
                <c:pt idx="7">
                  <c:v>An-2020</c:v>
                </c:pt>
                <c:pt idx="8">
                  <c:v>An-2021</c:v>
                </c:pt>
                <c:pt idx="9">
                  <c:v>An-2022</c:v>
                </c:pt>
                <c:pt idx="10">
                  <c:v>An-2023</c:v>
                </c:pt>
              </c:strCache>
            </c:strRef>
          </c:cat>
          <c:val>
            <c:numRef>
              <c:f>TCD!$J$27:$J$37</c:f>
              <c:numCache>
                <c:formatCode>0.00%</c:formatCode>
                <c:ptCount val="11"/>
                <c:pt idx="0">
                  <c:v>1.9863286450473641</c:v>
                </c:pt>
                <c:pt idx="1">
                  <c:v>0.29044193068217089</c:v>
                </c:pt>
                <c:pt idx="2">
                  <c:v>0.25956374149433714</c:v>
                </c:pt>
                <c:pt idx="3">
                  <c:v>0.17668128734548871</c:v>
                </c:pt>
                <c:pt idx="4">
                  <c:v>0.1943873004347246</c:v>
                </c:pt>
                <c:pt idx="5">
                  <c:v>0.18642174500531053</c:v>
                </c:pt>
                <c:pt idx="6">
                  <c:v>0.14791043142958563</c:v>
                </c:pt>
                <c:pt idx="7">
                  <c:v>0.12365045265761271</c:v>
                </c:pt>
                <c:pt idx="8">
                  <c:v>0.12287297467032939</c:v>
                </c:pt>
                <c:pt idx="9">
                  <c:v>0.17492833129275204</c:v>
                </c:pt>
                <c:pt idx="10">
                  <c:v>0.14878337464321503</c:v>
                </c:pt>
              </c:numCache>
            </c:numRef>
          </c:val>
          <c:extLst>
            <c:ext xmlns:c16="http://schemas.microsoft.com/office/drawing/2014/chart" uri="{C3380CC4-5D6E-409C-BE32-E72D297353CC}">
              <c16:uniqueId val="{00000000-F4BE-48A7-858A-56D51BF29716}"/>
            </c:ext>
          </c:extLst>
        </c:ser>
        <c:dLbls>
          <c:dLblPos val="outEnd"/>
          <c:showLegendKey val="0"/>
          <c:showVal val="1"/>
          <c:showCatName val="0"/>
          <c:showSerName val="0"/>
          <c:showPercent val="0"/>
          <c:showBubbleSize val="0"/>
        </c:dLbls>
        <c:gapWidth val="219"/>
        <c:axId val="605735855"/>
        <c:axId val="592328879"/>
      </c:barChart>
      <c:catAx>
        <c:axId val="60573585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fr-FR"/>
          </a:p>
        </c:txPr>
        <c:crossAx val="592328879"/>
        <c:crosses val="autoZero"/>
        <c:auto val="1"/>
        <c:lblAlgn val="ctr"/>
        <c:lblOffset val="100"/>
        <c:noMultiLvlLbl val="0"/>
      </c:catAx>
      <c:valAx>
        <c:axId val="592328879"/>
        <c:scaling>
          <c:orientation val="minMax"/>
        </c:scaling>
        <c:delete val="1"/>
        <c:axPos val="b"/>
        <c:numFmt formatCode="0.00%" sourceLinked="1"/>
        <c:majorTickMark val="none"/>
        <c:minorTickMark val="none"/>
        <c:tickLblPos val="nextTo"/>
        <c:crossAx val="605735855"/>
        <c:crosses val="autoZero"/>
        <c:crossBetween val="between"/>
      </c:valAx>
      <c:spPr>
        <a:noFill/>
        <a:ln>
          <a:noFill/>
        </a:ln>
        <a:effectLst/>
      </c:spPr>
    </c:plotArea>
    <c:plotVisOnly val="1"/>
    <c:dispBlanksAs val="gap"/>
    <c:showDLblsOverMax val="0"/>
  </c:chart>
  <c:spPr>
    <a:solidFill>
      <a:schemeClr val="accent5">
        <a:lumMod val="40000"/>
        <a:lumOff val="6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Deficit annuelle Balance Commerciale 2012-2023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autoTitleDeleted val="0"/>
    <c:plotArea>
      <c:layout/>
      <c:barChart>
        <c:barDir val="bar"/>
        <c:grouping val="clustered"/>
        <c:varyColors val="0"/>
        <c:ser>
          <c:idx val="0"/>
          <c:order val="0"/>
          <c:tx>
            <c:strRef>
              <c:f>TCD!$D$25</c:f>
              <c:strCache>
                <c:ptCount val="1"/>
                <c:pt idx="0">
                  <c:v>Deficit Balance Comm.</c:v>
                </c:pt>
              </c:strCache>
            </c:strRef>
          </c:tx>
          <c:spPr>
            <a:solidFill>
              <a:schemeClr val="accent2">
                <a:lumMod val="5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TCD!$A$26:$A$37</c:f>
              <c:strCache>
                <c:ptCount val="12"/>
                <c:pt idx="0">
                  <c:v>An-2012</c:v>
                </c:pt>
                <c:pt idx="1">
                  <c:v>An-2013</c:v>
                </c:pt>
                <c:pt idx="2">
                  <c:v>An-2014</c:v>
                </c:pt>
                <c:pt idx="3">
                  <c:v>An-2015</c:v>
                </c:pt>
                <c:pt idx="4">
                  <c:v>An-2016</c:v>
                </c:pt>
                <c:pt idx="5">
                  <c:v>An-2017</c:v>
                </c:pt>
                <c:pt idx="6">
                  <c:v>An-2018</c:v>
                </c:pt>
                <c:pt idx="7">
                  <c:v>An-2019</c:v>
                </c:pt>
                <c:pt idx="8">
                  <c:v>An-2020</c:v>
                </c:pt>
                <c:pt idx="9">
                  <c:v>An-2021</c:v>
                </c:pt>
                <c:pt idx="10">
                  <c:v>An-2022</c:v>
                </c:pt>
                <c:pt idx="11">
                  <c:v>An-2023</c:v>
                </c:pt>
              </c:strCache>
            </c:strRef>
          </c:cat>
          <c:val>
            <c:numRef>
              <c:f>TCD!$D$26:$D$37</c:f>
              <c:numCache>
                <c:formatCode>_-* #\ ##0_-;\-* #\ ##0_-;_-* "-"??_-;_-@_-</c:formatCode>
                <c:ptCount val="12"/>
                <c:pt idx="0">
                  <c:v>-1944051840734</c:v>
                </c:pt>
                <c:pt idx="1">
                  <c:v>-5805577699441</c:v>
                </c:pt>
                <c:pt idx="2">
                  <c:v>-7491760895192</c:v>
                </c:pt>
                <c:pt idx="3">
                  <c:v>-9436350383529</c:v>
                </c:pt>
                <c:pt idx="4">
                  <c:v>-11103576917134</c:v>
                </c:pt>
                <c:pt idx="5">
                  <c:v>-13261971259225</c:v>
                </c:pt>
                <c:pt idx="6">
                  <c:v>-15734291083580</c:v>
                </c:pt>
                <c:pt idx="7">
                  <c:v>-18061556865991</c:v>
                </c:pt>
                <c:pt idx="8">
                  <c:v>-20294876548172</c:v>
                </c:pt>
                <c:pt idx="9">
                  <c:v>-22788568400213</c:v>
                </c:pt>
                <c:pt idx="10">
                  <c:v>-26774934643013</c:v>
                </c:pt>
                <c:pt idx="11">
                  <c:v>-30758599775052</c:v>
                </c:pt>
              </c:numCache>
            </c:numRef>
          </c:val>
          <c:extLst>
            <c:ext xmlns:c16="http://schemas.microsoft.com/office/drawing/2014/chart" uri="{C3380CC4-5D6E-409C-BE32-E72D297353CC}">
              <c16:uniqueId val="{00000000-7D25-4211-BDEE-12A2D6BD9711}"/>
            </c:ext>
          </c:extLst>
        </c:ser>
        <c:dLbls>
          <c:dLblPos val="outEnd"/>
          <c:showLegendKey val="0"/>
          <c:showVal val="1"/>
          <c:showCatName val="0"/>
          <c:showSerName val="0"/>
          <c:showPercent val="0"/>
          <c:showBubbleSize val="0"/>
        </c:dLbls>
        <c:gapWidth val="150"/>
        <c:axId val="702479407"/>
        <c:axId val="869691471"/>
      </c:barChart>
      <c:catAx>
        <c:axId val="702479407"/>
        <c:scaling>
          <c:orientation val="minMax"/>
        </c:scaling>
        <c:delete val="0"/>
        <c:axPos val="l"/>
        <c:numFmt formatCode="General" sourceLinked="1"/>
        <c:majorTickMark val="out"/>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69691471"/>
        <c:crosses val="autoZero"/>
        <c:auto val="1"/>
        <c:lblAlgn val="ctr"/>
        <c:lblOffset val="100"/>
        <c:noMultiLvlLbl val="0"/>
      </c:catAx>
      <c:valAx>
        <c:axId val="869691471"/>
        <c:scaling>
          <c:orientation val="minMax"/>
        </c:scaling>
        <c:delete val="1"/>
        <c:axPos val="b"/>
        <c:numFmt formatCode="_-* #\ ##0_-;\-* #\ ##0_-;_-* &quot;-&quot;??_-;_-@_-" sourceLinked="1"/>
        <c:majorTickMark val="out"/>
        <c:minorTickMark val="none"/>
        <c:tickLblPos val="nextTo"/>
        <c:crossAx val="70247940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6">
        <a:lumMod val="20000"/>
        <a:lumOff val="80000"/>
      </a:schemeClr>
    </a:solidFill>
    <a:ln w="9525" cap="flat" cmpd="sng" algn="ctr">
      <a:solidFill>
        <a:schemeClr val="tx1">
          <a:lumMod val="15000"/>
          <a:lumOff val="85000"/>
        </a:schemeClr>
      </a:solidFill>
      <a:round/>
    </a:ln>
    <a:effectLst/>
  </c:spPr>
  <c:txPr>
    <a:bodyPr/>
    <a:lstStyle/>
    <a:p>
      <a:pPr>
        <a:defRPr/>
      </a:pPr>
      <a:endParaRPr lang="fr-FR"/>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776</Words>
  <Characters>4268</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macodou ndione</dc:creator>
  <cp:keywords/>
  <dc:description/>
  <cp:lastModifiedBy>Macodou Ndione</cp:lastModifiedBy>
  <cp:revision>2</cp:revision>
  <dcterms:created xsi:type="dcterms:W3CDTF">2024-03-09T14:29:00Z</dcterms:created>
  <dcterms:modified xsi:type="dcterms:W3CDTF">2024-03-09T14:29:00Z</dcterms:modified>
</cp:coreProperties>
</file>